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0405C" w14:textId="30051C2B" w:rsidR="00BA5CDE" w:rsidRDefault="00BA5CDE" w:rsidP="00425CA0">
      <w:pPr>
        <w:spacing w:after="0"/>
        <w:jc w:val="center"/>
        <w:rPr>
          <w:rFonts w:asciiTheme="majorHAnsi" w:hAnsiTheme="majorHAnsi" w:cstheme="majorHAnsi"/>
          <w:b/>
          <w:color w:val="009640"/>
          <w:sz w:val="32"/>
        </w:rPr>
      </w:pPr>
    </w:p>
    <w:p w14:paraId="5421BC26" w14:textId="77777777" w:rsidR="00BA5CDE" w:rsidRDefault="00BA5CDE" w:rsidP="00602679">
      <w:pPr>
        <w:spacing w:after="0"/>
        <w:jc w:val="center"/>
        <w:rPr>
          <w:rFonts w:asciiTheme="majorHAnsi" w:hAnsiTheme="majorHAnsi" w:cstheme="majorHAnsi"/>
          <w:b/>
          <w:color w:val="009640"/>
          <w:sz w:val="32"/>
        </w:rPr>
      </w:pPr>
    </w:p>
    <w:p w14:paraId="74530258" w14:textId="793C9BE8" w:rsidR="0053293F" w:rsidRPr="002A7A72" w:rsidRDefault="00BA5CDE" w:rsidP="00602679">
      <w:pPr>
        <w:spacing w:after="0"/>
        <w:jc w:val="center"/>
        <w:rPr>
          <w:rFonts w:asciiTheme="majorHAnsi" w:hAnsiTheme="majorHAnsi" w:cstheme="majorHAnsi"/>
          <w:b/>
          <w:color w:val="009640"/>
          <w:sz w:val="32"/>
        </w:rPr>
      </w:pPr>
      <w:r>
        <w:rPr>
          <w:rFonts w:asciiTheme="majorHAnsi" w:hAnsiTheme="majorHAnsi" w:cstheme="majorHAnsi"/>
          <w:b/>
          <w:color w:val="009640"/>
          <w:sz w:val="32"/>
        </w:rPr>
        <w:t xml:space="preserve">                      </w:t>
      </w:r>
      <w:r w:rsidR="0053293F" w:rsidRPr="00602679">
        <w:rPr>
          <w:rFonts w:asciiTheme="majorHAnsi" w:hAnsiTheme="majorHAnsi" w:cstheme="majorHAnsi"/>
          <w:b/>
          <w:color w:val="009640"/>
          <w:sz w:val="32"/>
        </w:rPr>
        <w:t>Key messages</w:t>
      </w:r>
      <w:r w:rsidR="00B73821">
        <w:rPr>
          <w:rFonts w:asciiTheme="majorHAnsi" w:hAnsiTheme="majorHAnsi" w:cstheme="majorHAnsi"/>
          <w:b/>
          <w:color w:val="009640"/>
          <w:sz w:val="32"/>
        </w:rPr>
        <w:t xml:space="preserve"> –</w:t>
      </w:r>
      <w:r w:rsidR="005120A1">
        <w:rPr>
          <w:rFonts w:asciiTheme="majorHAnsi" w:hAnsiTheme="majorHAnsi" w:cstheme="majorHAnsi"/>
          <w:b/>
          <w:color w:val="009640"/>
          <w:sz w:val="32"/>
        </w:rPr>
        <w:t xml:space="preserve"> </w:t>
      </w:r>
      <w:r w:rsidR="00B73821">
        <w:rPr>
          <w:rFonts w:asciiTheme="majorHAnsi" w:hAnsiTheme="majorHAnsi" w:cstheme="majorHAnsi"/>
          <w:b/>
          <w:color w:val="009640"/>
          <w:sz w:val="32"/>
        </w:rPr>
        <w:t>g</w:t>
      </w:r>
      <w:r w:rsidR="005120A1" w:rsidRPr="002A7A72">
        <w:rPr>
          <w:rFonts w:asciiTheme="majorHAnsi" w:hAnsiTheme="majorHAnsi" w:cstheme="majorHAnsi"/>
          <w:b/>
          <w:color w:val="009640"/>
          <w:sz w:val="32"/>
        </w:rPr>
        <w:t>eneral audiences</w:t>
      </w:r>
    </w:p>
    <w:p w14:paraId="03A75A75" w14:textId="3788F588" w:rsidR="00AF48AA" w:rsidRPr="00AF48AA" w:rsidRDefault="00A75B1D" w:rsidP="00AF48AA">
      <w:pPr>
        <w:spacing w:after="0" w:line="240" w:lineRule="auto"/>
        <w:rPr>
          <w:rFonts w:asciiTheme="majorHAnsi" w:hAnsiTheme="majorHAnsi" w:cstheme="majorHAnsi"/>
        </w:rPr>
      </w:pPr>
      <w:r w:rsidRPr="002A7A72">
        <w:rPr>
          <w:rFonts w:asciiTheme="majorHAnsi" w:hAnsiTheme="majorHAnsi" w:cstheme="majorHAnsi"/>
        </w:rPr>
        <w:t>The following key messages have been developed to support you when co</w:t>
      </w:r>
      <w:r w:rsidR="009A688C" w:rsidRPr="002A7A72">
        <w:rPr>
          <w:rFonts w:asciiTheme="majorHAnsi" w:hAnsiTheme="majorHAnsi" w:cstheme="majorHAnsi"/>
        </w:rPr>
        <w:t>mmunicating the benefits of H</w:t>
      </w:r>
      <w:r w:rsidR="00674C19">
        <w:rPr>
          <w:rFonts w:asciiTheme="majorHAnsi" w:hAnsiTheme="majorHAnsi" w:cstheme="majorHAnsi"/>
        </w:rPr>
        <w:t>IV, h</w:t>
      </w:r>
      <w:r w:rsidR="0041199B">
        <w:rPr>
          <w:rFonts w:asciiTheme="majorHAnsi" w:hAnsiTheme="majorHAnsi" w:cstheme="majorHAnsi"/>
        </w:rPr>
        <w:t xml:space="preserve">epatitis </w:t>
      </w:r>
      <w:r w:rsidR="0043614F">
        <w:rPr>
          <w:rFonts w:asciiTheme="majorHAnsi" w:hAnsiTheme="majorHAnsi" w:cstheme="majorHAnsi"/>
        </w:rPr>
        <w:t>B</w:t>
      </w:r>
      <w:r w:rsidR="00674C19">
        <w:rPr>
          <w:rFonts w:asciiTheme="majorHAnsi" w:hAnsiTheme="majorHAnsi" w:cstheme="majorHAnsi"/>
        </w:rPr>
        <w:t xml:space="preserve"> and </w:t>
      </w:r>
      <w:r w:rsidR="0043614F">
        <w:rPr>
          <w:rFonts w:asciiTheme="majorHAnsi" w:hAnsiTheme="majorHAnsi" w:cstheme="majorHAnsi"/>
        </w:rPr>
        <w:t>c</w:t>
      </w:r>
      <w:r w:rsidR="00BA5CDE">
        <w:rPr>
          <w:rFonts w:asciiTheme="majorHAnsi" w:hAnsiTheme="majorHAnsi" w:cstheme="majorHAnsi"/>
        </w:rPr>
        <w:t xml:space="preserve"> testing</w:t>
      </w:r>
      <w:r w:rsidR="00AF48AA">
        <w:rPr>
          <w:rFonts w:asciiTheme="majorHAnsi" w:hAnsiTheme="majorHAnsi" w:cstheme="majorHAnsi"/>
        </w:rPr>
        <w:t xml:space="preserve"> </w:t>
      </w:r>
      <w:r w:rsidR="00AF48AA" w:rsidRPr="00AF48AA">
        <w:rPr>
          <w:rFonts w:asciiTheme="majorHAnsi" w:hAnsiTheme="majorHAnsi" w:cstheme="majorHAnsi"/>
        </w:rPr>
        <w:t>to general audiences. The messages can be edited for local use to allow you to communicate HIV and/or hepatitis messages, as relevant</w:t>
      </w:r>
      <w:r w:rsidR="00AF48AA">
        <w:rPr>
          <w:rFonts w:asciiTheme="majorHAnsi" w:hAnsiTheme="majorHAnsi" w:cstheme="majorHAnsi"/>
        </w:rPr>
        <w:t xml:space="preserve"> according to your individual </w:t>
      </w:r>
      <w:r w:rsidR="0043614F">
        <w:rPr>
          <w:rFonts w:asciiTheme="majorHAnsi" w:hAnsiTheme="majorHAnsi" w:cstheme="majorHAnsi"/>
        </w:rPr>
        <w:t>ETW</w:t>
      </w:r>
      <w:r w:rsidR="00AF48AA" w:rsidRPr="00AF48AA">
        <w:rPr>
          <w:rFonts w:asciiTheme="majorHAnsi" w:hAnsiTheme="majorHAnsi" w:cstheme="majorHAnsi"/>
        </w:rPr>
        <w:t xml:space="preserve"> programme. </w:t>
      </w:r>
      <w:bookmarkStart w:id="0" w:name="_GoBack"/>
      <w:bookmarkEnd w:id="0"/>
    </w:p>
    <w:tbl>
      <w:tblPr>
        <w:tblpPr w:leftFromText="180" w:rightFromText="180" w:vertAnchor="text" w:horzAnchor="margin" w:tblpXSpec="center" w:tblpY="43"/>
        <w:tblW w:w="1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9006"/>
      </w:tblGrid>
      <w:tr w:rsidR="00AF48AA" w:rsidRPr="00FD7026" w14:paraId="7F302D45" w14:textId="77777777" w:rsidTr="00AF48AA">
        <w:tc>
          <w:tcPr>
            <w:tcW w:w="16372" w:type="dxa"/>
            <w:gridSpan w:val="2"/>
            <w:shd w:val="clear" w:color="auto" w:fill="1D4EA2"/>
          </w:tcPr>
          <w:p w14:paraId="561F05D9" w14:textId="77777777" w:rsidR="00AF48AA" w:rsidRPr="00D07684" w:rsidRDefault="00AF48AA" w:rsidP="00AF48AA">
            <w:pPr>
              <w:spacing w:after="0"/>
              <w:rPr>
                <w:rFonts w:asciiTheme="majorHAnsi" w:hAnsiTheme="majorHAnsi" w:cstheme="majorHAnsi"/>
                <w:b/>
                <w:color w:val="009640"/>
              </w:rPr>
            </w:pPr>
            <w:r w:rsidRPr="00B73821">
              <w:rPr>
                <w:rFonts w:asciiTheme="majorHAnsi" w:hAnsiTheme="majorHAnsi" w:cstheme="majorHAnsi"/>
                <w:b/>
                <w:color w:val="FFFFFF" w:themeColor="background1"/>
                <w:sz w:val="28"/>
              </w:rPr>
              <w:t>Overarching message</w:t>
            </w:r>
          </w:p>
        </w:tc>
      </w:tr>
      <w:tr w:rsidR="00AF48AA" w:rsidRPr="00FD7026" w14:paraId="6A62BA91" w14:textId="77777777" w:rsidTr="00AF48AA">
        <w:tc>
          <w:tcPr>
            <w:tcW w:w="16372" w:type="dxa"/>
            <w:gridSpan w:val="2"/>
            <w:shd w:val="clear" w:color="auto" w:fill="FFFFFF" w:themeFill="background1"/>
          </w:tcPr>
          <w:p w14:paraId="7645AF4B" w14:textId="6F07F133" w:rsidR="00AF48AA" w:rsidRPr="00D104F1" w:rsidRDefault="00A02E4B" w:rsidP="00D104F1">
            <w:pPr>
              <w:pStyle w:val="ListParagraph"/>
              <w:numPr>
                <w:ilvl w:val="0"/>
                <w:numId w:val="2"/>
              </w:numPr>
              <w:spacing w:after="0"/>
              <w:rPr>
                <w:rFonts w:asciiTheme="majorHAnsi" w:hAnsiTheme="majorHAnsi" w:cstheme="majorHAnsi"/>
              </w:rPr>
            </w:pPr>
            <w:r>
              <w:rPr>
                <w:rFonts w:asciiTheme="majorHAnsi" w:hAnsiTheme="majorHAnsi" w:cstheme="majorHAnsi"/>
              </w:rPr>
              <w:t>EuroTEST</w:t>
            </w:r>
            <w:r w:rsidR="00AF48AA">
              <w:rPr>
                <w:rFonts w:asciiTheme="majorHAnsi" w:hAnsiTheme="majorHAnsi" w:cstheme="majorHAnsi"/>
              </w:rPr>
              <w:t xml:space="preserve"> is calling on</w:t>
            </w:r>
            <w:r w:rsidR="00AF48AA" w:rsidRPr="00D07684">
              <w:rPr>
                <w:rFonts w:asciiTheme="majorHAnsi" w:hAnsiTheme="majorHAnsi" w:cstheme="majorHAnsi"/>
              </w:rPr>
              <w:t xml:space="preserve"> the European community to</w:t>
            </w:r>
            <w:r w:rsidR="00D104F1" w:rsidRPr="00D104F1">
              <w:rPr>
                <w:rFonts w:asciiTheme="majorHAnsi" w:hAnsiTheme="majorHAnsi" w:cstheme="majorHAnsi"/>
              </w:rPr>
              <w:t xml:space="preserve"> unite for </w:t>
            </w:r>
            <w:r w:rsidR="00D104F1" w:rsidRPr="00D104F1">
              <w:rPr>
                <w:rFonts w:asciiTheme="majorHAnsi" w:hAnsiTheme="majorHAnsi" w:cstheme="majorHAnsi"/>
                <w:b/>
              </w:rPr>
              <w:t>one week twice a year</w:t>
            </w:r>
            <w:r w:rsidR="00D104F1" w:rsidRPr="00D104F1">
              <w:rPr>
                <w:rFonts w:asciiTheme="majorHAnsi" w:hAnsiTheme="majorHAnsi" w:cstheme="majorHAnsi"/>
              </w:rPr>
              <w:t>, in Spring (</w:t>
            </w:r>
            <w:r w:rsidR="00D104F1" w:rsidRPr="00D104F1">
              <w:rPr>
                <w:rFonts w:asciiTheme="majorHAnsi" w:hAnsiTheme="majorHAnsi" w:cstheme="majorHAnsi"/>
                <w:b/>
              </w:rPr>
              <w:t>May</w:t>
            </w:r>
            <w:r w:rsidR="00D104F1" w:rsidRPr="00D104F1">
              <w:rPr>
                <w:rFonts w:asciiTheme="majorHAnsi" w:hAnsiTheme="majorHAnsi" w:cstheme="majorHAnsi"/>
              </w:rPr>
              <w:t>) and Autumn (</w:t>
            </w:r>
            <w:r w:rsidR="00D104F1" w:rsidRPr="00D104F1">
              <w:rPr>
                <w:rFonts w:asciiTheme="majorHAnsi" w:hAnsiTheme="majorHAnsi" w:cstheme="majorHAnsi"/>
                <w:b/>
              </w:rPr>
              <w:t>November</w:t>
            </w:r>
            <w:r w:rsidR="00D104F1" w:rsidRPr="00D104F1">
              <w:rPr>
                <w:rFonts w:asciiTheme="majorHAnsi" w:hAnsiTheme="majorHAnsi" w:cstheme="majorHAnsi"/>
              </w:rPr>
              <w:t>)</w:t>
            </w:r>
            <w:r w:rsidR="00D104F1">
              <w:rPr>
                <w:rFonts w:asciiTheme="majorHAnsi" w:hAnsiTheme="majorHAnsi" w:cstheme="majorHAnsi"/>
              </w:rPr>
              <w:t>,</w:t>
            </w:r>
            <w:r w:rsidR="00D104F1" w:rsidRPr="00D104F1">
              <w:rPr>
                <w:rFonts w:asciiTheme="majorHAnsi" w:hAnsiTheme="majorHAnsi" w:cstheme="majorHAnsi"/>
              </w:rPr>
              <w:t xml:space="preserve"> to increase awareness regarding the benefits of HIV and hepatitis testing, so that more people become knowledgeable about their risks, understand that there is effective treatment available and are aware of their HIV and/or hepatitis status.</w:t>
            </w:r>
          </w:p>
        </w:tc>
      </w:tr>
      <w:tr w:rsidR="00AF48AA" w:rsidRPr="00FD7026" w14:paraId="4DCE35F7" w14:textId="77777777" w:rsidTr="00AF48AA">
        <w:tc>
          <w:tcPr>
            <w:tcW w:w="16372" w:type="dxa"/>
            <w:gridSpan w:val="2"/>
            <w:shd w:val="clear" w:color="auto" w:fill="009640"/>
          </w:tcPr>
          <w:p w14:paraId="689C4349" w14:textId="77777777" w:rsidR="00AF48AA" w:rsidRPr="00907224" w:rsidRDefault="00AF48AA" w:rsidP="00AF48AA">
            <w:pPr>
              <w:spacing w:after="0"/>
              <w:rPr>
                <w:rFonts w:cs="Arial"/>
                <w:b/>
              </w:rPr>
            </w:pPr>
            <w:r>
              <w:rPr>
                <w:rFonts w:asciiTheme="majorHAnsi" w:hAnsiTheme="majorHAnsi" w:cstheme="majorHAnsi"/>
                <w:b/>
                <w:bCs/>
                <w:color w:val="FFFFFF" w:themeColor="background1"/>
                <w:sz w:val="28"/>
              </w:rPr>
              <w:t>Core messages</w:t>
            </w:r>
          </w:p>
        </w:tc>
      </w:tr>
      <w:tr w:rsidR="00AF48AA" w:rsidRPr="00FD7026" w14:paraId="3F11EA28" w14:textId="77777777" w:rsidTr="00AF48AA">
        <w:trPr>
          <w:trHeight w:val="1298"/>
        </w:trPr>
        <w:tc>
          <w:tcPr>
            <w:tcW w:w="16372" w:type="dxa"/>
            <w:gridSpan w:val="2"/>
          </w:tcPr>
          <w:p w14:paraId="18EB0209" w14:textId="3957482E" w:rsidR="00403C29" w:rsidRDefault="00403C29" w:rsidP="00AF48AA">
            <w:pPr>
              <w:pStyle w:val="ListParagraph"/>
              <w:numPr>
                <w:ilvl w:val="0"/>
                <w:numId w:val="4"/>
              </w:numPr>
              <w:spacing w:after="0"/>
              <w:rPr>
                <w:rFonts w:cs="Arial"/>
                <w:szCs w:val="24"/>
              </w:rPr>
            </w:pPr>
            <w:r w:rsidRPr="00403C29">
              <w:rPr>
                <w:rFonts w:cs="Arial"/>
                <w:szCs w:val="24"/>
              </w:rPr>
              <w:t xml:space="preserve">In 2015, the </w:t>
            </w:r>
            <w:r w:rsidR="00D104F1">
              <w:rPr>
                <w:rFonts w:cs="Arial"/>
                <w:szCs w:val="24"/>
              </w:rPr>
              <w:t>ETW</w:t>
            </w:r>
            <w:r w:rsidRPr="00403C29">
              <w:rPr>
                <w:rFonts w:cs="Arial"/>
                <w:szCs w:val="24"/>
              </w:rPr>
              <w:t xml:space="preserve"> expanded to include not only HIV but also hepatitis due to high prevalence of co-infection and overlaps in key populations and/or common modes of transmission. This is because hepatit</w:t>
            </w:r>
            <w:r w:rsidR="0026341F">
              <w:rPr>
                <w:rFonts w:cs="Arial"/>
                <w:szCs w:val="24"/>
              </w:rPr>
              <w:t>is B and C</w:t>
            </w:r>
            <w:r w:rsidRPr="00403C29">
              <w:rPr>
                <w:rFonts w:cs="Arial"/>
                <w:szCs w:val="24"/>
              </w:rPr>
              <w:t xml:space="preserve"> are transmitted in many of the same ways HIV is transmitted – through injection drug use and condomless sex</w:t>
            </w:r>
          </w:p>
          <w:p w14:paraId="40956A0A" w14:textId="46AC92D8" w:rsidR="00AF48AA" w:rsidRPr="00222F88" w:rsidRDefault="00AF48AA" w:rsidP="00AF48AA">
            <w:pPr>
              <w:pStyle w:val="ListParagraph"/>
              <w:numPr>
                <w:ilvl w:val="0"/>
                <w:numId w:val="4"/>
              </w:numPr>
              <w:spacing w:after="0"/>
              <w:rPr>
                <w:rFonts w:cs="Arial"/>
                <w:szCs w:val="24"/>
              </w:rPr>
            </w:pPr>
            <w:r w:rsidRPr="00222F88">
              <w:rPr>
                <w:rFonts w:cs="Arial"/>
                <w:szCs w:val="24"/>
              </w:rPr>
              <w:t xml:space="preserve">It’s better to know your status as soon as possible because today people living with HIV and/or hepatitis B </w:t>
            </w:r>
            <w:r>
              <w:rPr>
                <w:rFonts w:cs="Arial"/>
                <w:szCs w:val="24"/>
              </w:rPr>
              <w:t>can live well with a long</w:t>
            </w:r>
            <w:r w:rsidR="00053158">
              <w:rPr>
                <w:rFonts w:cs="Arial"/>
                <w:szCs w:val="24"/>
              </w:rPr>
              <w:t>-</w:t>
            </w:r>
            <w:r>
              <w:rPr>
                <w:rFonts w:cs="Arial"/>
                <w:szCs w:val="24"/>
              </w:rPr>
              <w:t>life expectancy when treatment starts early</w:t>
            </w:r>
            <w:r w:rsidRPr="00222F88">
              <w:rPr>
                <w:rFonts w:cs="Arial"/>
                <w:szCs w:val="24"/>
              </w:rPr>
              <w:t>; and those with hepatitis C can be cured.</w:t>
            </w:r>
          </w:p>
        </w:tc>
      </w:tr>
      <w:tr w:rsidR="00AF48AA" w:rsidRPr="00FD7026" w14:paraId="1C2574B5" w14:textId="77777777" w:rsidTr="00AF48AA">
        <w:trPr>
          <w:trHeight w:val="241"/>
        </w:trPr>
        <w:tc>
          <w:tcPr>
            <w:tcW w:w="7366" w:type="dxa"/>
            <w:vAlign w:val="center"/>
          </w:tcPr>
          <w:p w14:paraId="2D50E948" w14:textId="77777777" w:rsidR="00AF48AA" w:rsidRDefault="00AF48AA" w:rsidP="00AF48AA">
            <w:pPr>
              <w:pStyle w:val="ListParagraph"/>
              <w:spacing w:after="0"/>
              <w:jc w:val="center"/>
              <w:rPr>
                <w:rFonts w:cs="Arial"/>
                <w:szCs w:val="24"/>
              </w:rPr>
            </w:pPr>
            <w:r w:rsidRPr="00B73821">
              <w:rPr>
                <w:rFonts w:asciiTheme="majorHAnsi" w:hAnsiTheme="majorHAnsi" w:cstheme="majorHAnsi"/>
                <w:b/>
                <w:color w:val="1D4EA2"/>
                <w:sz w:val="24"/>
                <w:szCs w:val="28"/>
              </w:rPr>
              <w:t>HIV specific</w:t>
            </w:r>
          </w:p>
        </w:tc>
        <w:tc>
          <w:tcPr>
            <w:tcW w:w="9006" w:type="dxa"/>
            <w:vAlign w:val="center"/>
          </w:tcPr>
          <w:p w14:paraId="14124673" w14:textId="77777777" w:rsidR="00AF48AA" w:rsidRDefault="00AF48AA" w:rsidP="00AF48AA">
            <w:pPr>
              <w:pStyle w:val="ListParagraph"/>
              <w:spacing w:after="0"/>
              <w:jc w:val="center"/>
              <w:rPr>
                <w:rFonts w:cs="Arial"/>
                <w:szCs w:val="24"/>
              </w:rPr>
            </w:pPr>
            <w:r w:rsidRPr="00B73821">
              <w:rPr>
                <w:rFonts w:cs="Arial"/>
                <w:b/>
                <w:color w:val="009640"/>
                <w:sz w:val="24"/>
                <w:szCs w:val="28"/>
              </w:rPr>
              <w:t>Hepatitis C &amp; B specific</w:t>
            </w:r>
          </w:p>
        </w:tc>
      </w:tr>
      <w:tr w:rsidR="00AF48AA" w:rsidRPr="00FD7026" w14:paraId="29061D65" w14:textId="77777777" w:rsidTr="00AF48AA">
        <w:trPr>
          <w:trHeight w:val="4016"/>
        </w:trPr>
        <w:tc>
          <w:tcPr>
            <w:tcW w:w="7366" w:type="dxa"/>
          </w:tcPr>
          <w:p w14:paraId="63FB0FCE" w14:textId="77777777" w:rsidR="00AF48AA" w:rsidRPr="001B08AE" w:rsidRDefault="00AF48AA" w:rsidP="00AF48AA">
            <w:pPr>
              <w:spacing w:after="0"/>
              <w:rPr>
                <w:rFonts w:cs="Arial"/>
                <w:b/>
                <w:color w:val="1D4EA2"/>
                <w:szCs w:val="24"/>
              </w:rPr>
            </w:pPr>
            <w:r w:rsidRPr="001B08AE">
              <w:rPr>
                <w:rFonts w:cs="Arial"/>
                <w:b/>
                <w:color w:val="1D4EA2"/>
                <w:szCs w:val="24"/>
              </w:rPr>
              <w:t>Treatment</w:t>
            </w:r>
          </w:p>
          <w:p w14:paraId="319A39B0" w14:textId="77777777" w:rsidR="00AF48AA" w:rsidRDefault="00AF48AA" w:rsidP="00AF48AA">
            <w:pPr>
              <w:pStyle w:val="ListParagraph"/>
              <w:numPr>
                <w:ilvl w:val="0"/>
                <w:numId w:val="15"/>
              </w:numPr>
              <w:ind w:left="412" w:hanging="283"/>
              <w:rPr>
                <w:rFonts w:cs="Arial"/>
                <w:szCs w:val="24"/>
              </w:rPr>
            </w:pPr>
            <w:r>
              <w:rPr>
                <w:rFonts w:cs="Arial"/>
                <w:szCs w:val="24"/>
              </w:rPr>
              <w:t xml:space="preserve">It’s better to know your status as soon as possible because today people living with HIV can live well with a long life expectancy when treatment starts early. </w:t>
            </w:r>
          </w:p>
          <w:p w14:paraId="04A3E557" w14:textId="1AE36990" w:rsidR="00AF48AA" w:rsidRDefault="00AF48AA" w:rsidP="00AF48AA">
            <w:pPr>
              <w:pStyle w:val="ListParagraph"/>
              <w:numPr>
                <w:ilvl w:val="0"/>
                <w:numId w:val="15"/>
              </w:numPr>
              <w:ind w:left="412" w:hanging="283"/>
              <w:rPr>
                <w:rFonts w:cs="Arial"/>
                <w:szCs w:val="24"/>
              </w:rPr>
            </w:pPr>
            <w:r w:rsidRPr="001B08AE">
              <w:rPr>
                <w:rFonts w:cs="Arial"/>
                <w:szCs w:val="24"/>
              </w:rPr>
              <w:t>HIV</w:t>
            </w:r>
            <w:r>
              <w:rPr>
                <w:rFonts w:cs="Arial"/>
                <w:szCs w:val="24"/>
              </w:rPr>
              <w:t xml:space="preserve"> treatment</w:t>
            </w:r>
            <w:r w:rsidRPr="000B62F5">
              <w:rPr>
                <w:rFonts w:cs="Arial"/>
                <w:szCs w:val="24"/>
              </w:rPr>
              <w:t xml:space="preserve"> advances mean that you can live healthily for a long time if you are diagnosed early. </w:t>
            </w:r>
            <w:r w:rsidR="00D50B3E">
              <w:rPr>
                <w:rFonts w:cs="Arial"/>
                <w:szCs w:val="24"/>
              </w:rPr>
              <w:t>D</w:t>
            </w:r>
            <w:r w:rsidRPr="000B62F5">
              <w:rPr>
                <w:rFonts w:cs="Arial"/>
                <w:szCs w:val="24"/>
              </w:rPr>
              <w:t>ata from the START (Strategic Timing of AntiRetroviral Treatment) trial indicate that starting anti-HIV treatment soon after diagnosis of HIV infection protects people’s health, instead of waiting for the CD4 count to drop to 350</w:t>
            </w:r>
            <w:r>
              <w:rPr>
                <w:rFonts w:cs="Arial"/>
                <w:szCs w:val="24"/>
              </w:rPr>
              <w:t>.</w:t>
            </w:r>
          </w:p>
          <w:p w14:paraId="1EA1EA43" w14:textId="77777777" w:rsidR="00AF48AA" w:rsidRDefault="00AF48AA" w:rsidP="00AF48AA">
            <w:pPr>
              <w:spacing w:after="0"/>
              <w:rPr>
                <w:rFonts w:cs="Arial"/>
                <w:b/>
                <w:color w:val="1D4EA2"/>
                <w:szCs w:val="24"/>
              </w:rPr>
            </w:pPr>
            <w:r w:rsidRPr="001B08AE">
              <w:rPr>
                <w:rFonts w:cs="Arial"/>
                <w:b/>
                <w:color w:val="1D4EA2"/>
                <w:szCs w:val="24"/>
              </w:rPr>
              <w:t xml:space="preserve">Prevalence </w:t>
            </w:r>
          </w:p>
          <w:p w14:paraId="44A4D3E5" w14:textId="6B333871" w:rsidR="00AF48AA" w:rsidRPr="00E81AF5" w:rsidRDefault="00D50B3E" w:rsidP="00AF48AA">
            <w:pPr>
              <w:pStyle w:val="ListParagraph"/>
              <w:numPr>
                <w:ilvl w:val="0"/>
                <w:numId w:val="15"/>
              </w:numPr>
              <w:ind w:left="412" w:hanging="283"/>
              <w:rPr>
                <w:rFonts w:cs="Arial"/>
                <w:szCs w:val="24"/>
              </w:rPr>
            </w:pPr>
            <w:r>
              <w:rPr>
                <w:rFonts w:cs="Arial"/>
                <w:szCs w:val="24"/>
              </w:rPr>
              <w:t>1 out of 5</w:t>
            </w:r>
            <w:r w:rsidR="00AF48AA" w:rsidRPr="00B73821">
              <w:rPr>
                <w:rFonts w:cs="Arial"/>
                <w:szCs w:val="24"/>
              </w:rPr>
              <w:t xml:space="preserve"> of </w:t>
            </w:r>
            <w:r w:rsidR="00AF48AA" w:rsidRPr="00674C19">
              <w:rPr>
                <w:rFonts w:cs="Arial"/>
                <w:szCs w:val="24"/>
              </w:rPr>
              <w:t>the</w:t>
            </w:r>
            <w:r>
              <w:rPr>
                <w:rFonts w:cs="Arial"/>
                <w:szCs w:val="24"/>
              </w:rPr>
              <w:t xml:space="preserve"> 2.3</w:t>
            </w:r>
            <w:r w:rsidR="00AF48AA" w:rsidRPr="00B73821">
              <w:rPr>
                <w:rFonts w:cs="Arial"/>
                <w:szCs w:val="24"/>
              </w:rPr>
              <w:t xml:space="preserve"> million people living with HIV in Europe are currently unaware that are HIV positive; and </w:t>
            </w:r>
            <w:r>
              <w:rPr>
                <w:rFonts w:cs="Arial"/>
                <w:szCs w:val="24"/>
              </w:rPr>
              <w:t>over</w:t>
            </w:r>
            <w:r w:rsidR="00703BE5">
              <w:rPr>
                <w:rFonts w:cs="Arial"/>
                <w:szCs w:val="24"/>
              </w:rPr>
              <w:t xml:space="preserve"> </w:t>
            </w:r>
            <w:r w:rsidR="00AF48AA" w:rsidRPr="00B73821">
              <w:rPr>
                <w:rFonts w:cs="Arial"/>
                <w:szCs w:val="24"/>
              </w:rPr>
              <w:t>50% of those who are positive are diagnosed late, delaying access to treatment.</w:t>
            </w:r>
          </w:p>
        </w:tc>
        <w:tc>
          <w:tcPr>
            <w:tcW w:w="9006" w:type="dxa"/>
          </w:tcPr>
          <w:p w14:paraId="0261E3F1" w14:textId="77777777" w:rsidR="00AF48AA" w:rsidRPr="0016337B" w:rsidRDefault="00AF48AA" w:rsidP="00AF48AA">
            <w:pPr>
              <w:spacing w:after="0"/>
              <w:rPr>
                <w:rFonts w:eastAsia="Times New Roman" w:cstheme="minorHAnsi"/>
                <w:b/>
                <w:i/>
                <w:color w:val="009640"/>
                <w:lang w:val="en-US"/>
              </w:rPr>
            </w:pPr>
            <w:r w:rsidRPr="0016337B">
              <w:rPr>
                <w:rFonts w:eastAsia="Times New Roman" w:cstheme="minorHAnsi"/>
                <w:b/>
                <w:i/>
                <w:color w:val="009640"/>
                <w:lang w:val="en-US"/>
              </w:rPr>
              <w:t>Treatment and Prevention</w:t>
            </w:r>
          </w:p>
          <w:p w14:paraId="00724FAC" w14:textId="77777777" w:rsidR="00AF48AA" w:rsidRPr="0016337B" w:rsidRDefault="00AF48AA" w:rsidP="00AF48AA">
            <w:pPr>
              <w:numPr>
                <w:ilvl w:val="0"/>
                <w:numId w:val="4"/>
              </w:numPr>
              <w:spacing w:after="0"/>
              <w:rPr>
                <w:rFonts w:eastAsia="Times New Roman" w:cstheme="minorHAnsi"/>
                <w:lang w:val="en-US"/>
              </w:rPr>
            </w:pPr>
            <w:r w:rsidRPr="0016337B">
              <w:rPr>
                <w:rFonts w:eastAsia="Times New Roman" w:cstheme="minorHAnsi"/>
                <w:lang w:val="en-US"/>
              </w:rPr>
              <w:t>It’s better to know your status as soon as possible because today people with hepatitis B can live well with a long life expectancy when treatment starts early, and those with hepatitis C can be cured.</w:t>
            </w:r>
          </w:p>
          <w:p w14:paraId="3C673907" w14:textId="77777777" w:rsidR="00AF48AA" w:rsidRPr="0016337B" w:rsidRDefault="00AF48AA" w:rsidP="00AF48AA">
            <w:pPr>
              <w:numPr>
                <w:ilvl w:val="0"/>
                <w:numId w:val="4"/>
              </w:numPr>
              <w:spacing w:after="0"/>
              <w:rPr>
                <w:rFonts w:eastAsia="Times New Roman" w:cstheme="minorHAnsi"/>
                <w:lang w:val="en-US"/>
              </w:rPr>
            </w:pPr>
            <w:r w:rsidRPr="0016337B">
              <w:rPr>
                <w:rFonts w:eastAsia="Times New Roman" w:cstheme="minorHAnsi"/>
                <w:lang w:val="en-US"/>
              </w:rPr>
              <w:t>Knowing your status can also help prevent you from passing on the viruses to others.</w:t>
            </w:r>
          </w:p>
          <w:p w14:paraId="5F038D37" w14:textId="77777777" w:rsidR="00AF48AA" w:rsidRPr="0016337B" w:rsidRDefault="00AF48AA" w:rsidP="00AF48AA">
            <w:pPr>
              <w:numPr>
                <w:ilvl w:val="0"/>
                <w:numId w:val="4"/>
              </w:numPr>
              <w:spacing w:after="0"/>
              <w:rPr>
                <w:rFonts w:eastAsia="Times New Roman" w:cstheme="minorHAnsi"/>
                <w:lang w:val="en-US"/>
              </w:rPr>
            </w:pPr>
            <w:r w:rsidRPr="0016337B">
              <w:rPr>
                <w:rFonts w:cstheme="minorHAnsi"/>
                <w:b/>
                <w:color w:val="009640"/>
                <w:lang w:val="en-US"/>
              </w:rPr>
              <w:t>Hepatitis C</w:t>
            </w:r>
            <w:r w:rsidRPr="0016337B">
              <w:rPr>
                <w:rFonts w:eastAsia="Times New Roman" w:cstheme="minorHAnsi"/>
                <w:lang w:val="en-US"/>
              </w:rPr>
              <w:t xml:space="preserve"> treatment advances mean that a cure is now available.</w:t>
            </w:r>
          </w:p>
          <w:p w14:paraId="264D4F3F" w14:textId="77777777" w:rsidR="00AF48AA" w:rsidRPr="0016337B" w:rsidRDefault="00AF48AA" w:rsidP="00AF48AA">
            <w:pPr>
              <w:spacing w:after="0"/>
              <w:ind w:left="720"/>
              <w:rPr>
                <w:rFonts w:eastAsia="Times New Roman" w:cstheme="minorHAnsi"/>
                <w:lang w:val="en-US"/>
              </w:rPr>
            </w:pPr>
            <w:r w:rsidRPr="0016337B">
              <w:rPr>
                <w:rFonts w:cstheme="minorHAnsi"/>
                <w:b/>
                <w:color w:val="009640"/>
                <w:lang w:val="en-US"/>
              </w:rPr>
              <w:t>Hepatitis B</w:t>
            </w:r>
            <w:r w:rsidRPr="0016337B">
              <w:rPr>
                <w:rFonts w:eastAsia="Times New Roman" w:cstheme="minorHAnsi"/>
                <w:lang w:val="en-US"/>
              </w:rPr>
              <w:t xml:space="preserve"> treatment exists to prevent liver cancer and liver cirrhosis. There is also a vaccine to help prevent you from getting infected with HBV.</w:t>
            </w:r>
          </w:p>
          <w:p w14:paraId="7EE5FCAC" w14:textId="77777777" w:rsidR="00AF48AA" w:rsidRPr="004104E2" w:rsidRDefault="00AF48AA" w:rsidP="00AF48AA">
            <w:pPr>
              <w:spacing w:after="0"/>
              <w:rPr>
                <w:rFonts w:cs="Arial"/>
                <w:b/>
                <w:color w:val="009640"/>
                <w:szCs w:val="24"/>
              </w:rPr>
            </w:pPr>
            <w:r w:rsidRPr="004104E2">
              <w:rPr>
                <w:rFonts w:cs="Arial"/>
                <w:b/>
                <w:color w:val="009640"/>
                <w:szCs w:val="24"/>
              </w:rPr>
              <w:t xml:space="preserve">Prevalence </w:t>
            </w:r>
          </w:p>
          <w:p w14:paraId="581B5C0D" w14:textId="7AFDA781" w:rsidR="00AF48AA" w:rsidRDefault="00AF48AA" w:rsidP="00AF48AA">
            <w:pPr>
              <w:pStyle w:val="ListParagraph"/>
              <w:numPr>
                <w:ilvl w:val="0"/>
                <w:numId w:val="4"/>
              </w:numPr>
              <w:spacing w:after="0"/>
              <w:ind w:left="412" w:hanging="283"/>
              <w:rPr>
                <w:rFonts w:cs="Arial"/>
                <w:szCs w:val="24"/>
              </w:rPr>
            </w:pPr>
            <w:r w:rsidRPr="00C95809">
              <w:rPr>
                <w:rFonts w:cs="Arial"/>
                <w:b/>
                <w:color w:val="009640"/>
                <w:szCs w:val="24"/>
              </w:rPr>
              <w:t>Hepatitis C:</w:t>
            </w:r>
            <w:r w:rsidRPr="00C95809">
              <w:rPr>
                <w:rFonts w:cs="Arial"/>
                <w:color w:val="009640"/>
                <w:szCs w:val="24"/>
              </w:rPr>
              <w:t xml:space="preserve"> </w:t>
            </w:r>
            <w:r w:rsidRPr="00C95809">
              <w:rPr>
                <w:rFonts w:cs="Arial"/>
                <w:szCs w:val="24"/>
              </w:rPr>
              <w:t>In the WHO European Region it is estimated that 1</w:t>
            </w:r>
            <w:r w:rsidR="00CF418F">
              <w:rPr>
                <w:rFonts w:cs="Arial"/>
                <w:szCs w:val="24"/>
              </w:rPr>
              <w:t>4</w:t>
            </w:r>
            <w:r w:rsidRPr="00C95809">
              <w:rPr>
                <w:rFonts w:cs="Arial"/>
                <w:szCs w:val="24"/>
              </w:rPr>
              <w:t xml:space="preserve"> million people are living with hepatitis</w:t>
            </w:r>
            <w:r>
              <w:rPr>
                <w:rFonts w:cs="Arial"/>
                <w:szCs w:val="24"/>
              </w:rPr>
              <w:t xml:space="preserve"> C;</w:t>
            </w:r>
            <w:r w:rsidRPr="00C95809">
              <w:rPr>
                <w:rFonts w:cs="Arial"/>
                <w:szCs w:val="24"/>
              </w:rPr>
              <w:t xml:space="preserve"> however, only a small minority of people receive treatment. In </w:t>
            </w:r>
            <w:r>
              <w:rPr>
                <w:rFonts w:cs="Arial"/>
                <w:szCs w:val="24"/>
              </w:rPr>
              <w:t xml:space="preserve">the WHO </w:t>
            </w:r>
            <w:r w:rsidRPr="00C95809">
              <w:rPr>
                <w:rFonts w:cs="Arial"/>
                <w:szCs w:val="24"/>
              </w:rPr>
              <w:t>Europe</w:t>
            </w:r>
            <w:r>
              <w:rPr>
                <w:rFonts w:cs="Arial"/>
                <w:szCs w:val="24"/>
              </w:rPr>
              <w:t>an Region</w:t>
            </w:r>
            <w:r w:rsidRPr="00C95809">
              <w:rPr>
                <w:rFonts w:cs="Arial"/>
                <w:szCs w:val="24"/>
              </w:rPr>
              <w:t>, the average tre</w:t>
            </w:r>
            <w:r>
              <w:rPr>
                <w:rFonts w:cs="Arial"/>
                <w:szCs w:val="24"/>
              </w:rPr>
              <w:t>atment rate is estimated at only</w:t>
            </w:r>
            <w:r w:rsidRPr="00C95809">
              <w:rPr>
                <w:rFonts w:cs="Arial"/>
                <w:szCs w:val="24"/>
              </w:rPr>
              <w:t xml:space="preserve"> </w:t>
            </w:r>
            <w:r w:rsidR="00CF418F">
              <w:rPr>
                <w:rFonts w:cs="Arial"/>
                <w:szCs w:val="24"/>
              </w:rPr>
              <w:t>4.6</w:t>
            </w:r>
            <w:r w:rsidRPr="00C95809">
              <w:rPr>
                <w:rFonts w:cs="Arial"/>
                <w:szCs w:val="24"/>
              </w:rPr>
              <w:t>%</w:t>
            </w:r>
            <w:r>
              <w:rPr>
                <w:rFonts w:cs="Arial"/>
                <w:szCs w:val="24"/>
              </w:rPr>
              <w:t>.</w:t>
            </w:r>
          </w:p>
          <w:p w14:paraId="2CA74B72" w14:textId="0C39387D" w:rsidR="00AF48AA" w:rsidRPr="00B73821" w:rsidRDefault="00AF48AA" w:rsidP="00AF48AA">
            <w:pPr>
              <w:pStyle w:val="ListParagraph"/>
              <w:numPr>
                <w:ilvl w:val="0"/>
                <w:numId w:val="4"/>
              </w:numPr>
              <w:spacing w:after="0"/>
              <w:ind w:left="412" w:hanging="283"/>
              <w:rPr>
                <w:rFonts w:cs="Arial"/>
                <w:szCs w:val="24"/>
              </w:rPr>
            </w:pPr>
            <w:r w:rsidRPr="00C95809">
              <w:rPr>
                <w:rFonts w:cs="Arial"/>
                <w:b/>
                <w:color w:val="009640"/>
                <w:szCs w:val="24"/>
              </w:rPr>
              <w:t>Hepatitis B</w:t>
            </w:r>
            <w:r>
              <w:rPr>
                <w:rFonts w:cs="Arial"/>
                <w:b/>
                <w:color w:val="009640"/>
                <w:szCs w:val="24"/>
              </w:rPr>
              <w:t>:</w:t>
            </w:r>
            <w:r w:rsidRPr="00C95809">
              <w:rPr>
                <w:rFonts w:cs="Arial"/>
                <w:szCs w:val="24"/>
              </w:rPr>
              <w:t xml:space="preserve"> It</w:t>
            </w:r>
            <w:r>
              <w:rPr>
                <w:rFonts w:cs="Arial"/>
                <w:szCs w:val="24"/>
              </w:rPr>
              <w:t>’</w:t>
            </w:r>
            <w:r w:rsidRPr="00C95809">
              <w:rPr>
                <w:rFonts w:cs="Arial"/>
                <w:szCs w:val="24"/>
              </w:rPr>
              <w:t xml:space="preserve">s estimated that around </w:t>
            </w:r>
            <w:r w:rsidR="00CF418F">
              <w:rPr>
                <w:rFonts w:cs="Arial"/>
                <w:szCs w:val="24"/>
              </w:rPr>
              <w:t>15</w:t>
            </w:r>
            <w:r w:rsidRPr="00C95809">
              <w:rPr>
                <w:rFonts w:cs="Arial"/>
                <w:szCs w:val="24"/>
              </w:rPr>
              <w:t xml:space="preserve"> million people are living with hepatitis B in the WHO European Region. Ap</w:t>
            </w:r>
            <w:r>
              <w:rPr>
                <w:rFonts w:cs="Arial"/>
                <w:szCs w:val="24"/>
              </w:rPr>
              <w:t xml:space="preserve">proximately </w:t>
            </w:r>
            <w:r w:rsidR="00CF418F">
              <w:rPr>
                <w:rFonts w:cs="Arial"/>
                <w:szCs w:val="24"/>
              </w:rPr>
              <w:t>20-30</w:t>
            </w:r>
            <w:r>
              <w:rPr>
                <w:rFonts w:cs="Arial"/>
                <w:szCs w:val="24"/>
              </w:rPr>
              <w:t xml:space="preserve">% of infected individuals </w:t>
            </w:r>
            <w:r w:rsidRPr="00C95809">
              <w:rPr>
                <w:rFonts w:cs="Arial"/>
                <w:szCs w:val="24"/>
              </w:rPr>
              <w:t>will develop cirrhosis, liver fail</w:t>
            </w:r>
            <w:r>
              <w:rPr>
                <w:rFonts w:cs="Arial"/>
                <w:szCs w:val="24"/>
              </w:rPr>
              <w:t>ure or hepatocellular carcinoma.</w:t>
            </w:r>
          </w:p>
        </w:tc>
      </w:tr>
    </w:tbl>
    <w:p w14:paraId="31257082" w14:textId="0914764C" w:rsidR="00AF48AA" w:rsidRPr="00AF48AA" w:rsidRDefault="00AF48AA" w:rsidP="00AF48AA">
      <w:pPr>
        <w:tabs>
          <w:tab w:val="left" w:pos="1695"/>
        </w:tabs>
        <w:rPr>
          <w:rFonts w:asciiTheme="majorHAnsi" w:hAnsiTheme="majorHAnsi" w:cstheme="majorHAnsi"/>
          <w:sz w:val="4"/>
          <w:szCs w:val="4"/>
        </w:rPr>
      </w:pPr>
    </w:p>
    <w:sectPr w:rsidR="00AF48AA" w:rsidRPr="00AF48AA" w:rsidSect="00AF48AA">
      <w:headerReference w:type="default" r:id="rId8"/>
      <w:pgSz w:w="16838" w:h="11906" w:orient="landscape"/>
      <w:pgMar w:top="720" w:right="720" w:bottom="426" w:left="720" w:header="142"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6D45C" w14:textId="77777777" w:rsidR="003B259F" w:rsidRDefault="003B259F" w:rsidP="005A0BEE">
      <w:pPr>
        <w:spacing w:after="0" w:line="240" w:lineRule="auto"/>
      </w:pPr>
      <w:r>
        <w:separator/>
      </w:r>
    </w:p>
  </w:endnote>
  <w:endnote w:type="continuationSeparator" w:id="0">
    <w:p w14:paraId="1886408C" w14:textId="77777777" w:rsidR="003B259F" w:rsidRDefault="003B259F" w:rsidP="005A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95B7" w14:textId="77777777" w:rsidR="003B259F" w:rsidRDefault="003B259F" w:rsidP="005A0BEE">
      <w:pPr>
        <w:spacing w:after="0" w:line="240" w:lineRule="auto"/>
      </w:pPr>
      <w:r>
        <w:separator/>
      </w:r>
    </w:p>
  </w:footnote>
  <w:footnote w:type="continuationSeparator" w:id="0">
    <w:p w14:paraId="541A614A" w14:textId="77777777" w:rsidR="003B259F" w:rsidRDefault="003B259F" w:rsidP="005A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98EB" w14:textId="13893BB0" w:rsidR="00B27F0F" w:rsidRDefault="0043614F">
    <w:pPr>
      <w:pStyle w:val="Header"/>
    </w:pPr>
    <w:r>
      <w:rPr>
        <w:noProof/>
      </w:rPr>
      <w:drawing>
        <wp:anchor distT="0" distB="0" distL="114300" distR="114300" simplePos="0" relativeHeight="251657216" behindDoc="1" locked="0" layoutInCell="1" allowOverlap="1" wp14:anchorId="0EE82231" wp14:editId="12C37BE6">
          <wp:simplePos x="0" y="0"/>
          <wp:positionH relativeFrom="page">
            <wp:posOffset>8315325</wp:posOffset>
          </wp:positionH>
          <wp:positionV relativeFrom="page">
            <wp:align>top</wp:align>
          </wp:positionV>
          <wp:extent cx="2378710" cy="1070610"/>
          <wp:effectExtent l="0" t="0" r="2540" b="0"/>
          <wp:wrapSquare wrapText="bothSides"/>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iv_word_template_to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8710" cy="1070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E4B">
      <w:rPr>
        <w:noProof/>
      </w:rPr>
      <w:drawing>
        <wp:anchor distT="0" distB="0" distL="114300" distR="114300" simplePos="0" relativeHeight="251658240" behindDoc="0" locked="0" layoutInCell="1" allowOverlap="1" wp14:anchorId="0DBCAE99" wp14:editId="66AD52EC">
          <wp:simplePos x="0" y="0"/>
          <wp:positionH relativeFrom="column">
            <wp:posOffset>-335280</wp:posOffset>
          </wp:positionH>
          <wp:positionV relativeFrom="paragraph">
            <wp:posOffset>62230</wp:posOffset>
          </wp:positionV>
          <wp:extent cx="1078865" cy="989330"/>
          <wp:effectExtent l="0" t="0" r="698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8865" cy="989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1DA9"/>
    <w:multiLevelType w:val="hybridMultilevel"/>
    <w:tmpl w:val="7D20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79D0"/>
    <w:multiLevelType w:val="hybridMultilevel"/>
    <w:tmpl w:val="C97E70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908B2"/>
    <w:multiLevelType w:val="hybridMultilevel"/>
    <w:tmpl w:val="7DBAEA4E"/>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03BAE"/>
    <w:multiLevelType w:val="hybridMultilevel"/>
    <w:tmpl w:val="5CA0D2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87B5877"/>
    <w:multiLevelType w:val="hybridMultilevel"/>
    <w:tmpl w:val="28BAE59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5" w15:restartNumberingAfterBreak="0">
    <w:nsid w:val="1D6B49F0"/>
    <w:multiLevelType w:val="hybridMultilevel"/>
    <w:tmpl w:val="FEE89D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50102"/>
    <w:multiLevelType w:val="hybridMultilevel"/>
    <w:tmpl w:val="B77CB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3EC58CA"/>
    <w:multiLevelType w:val="hybridMultilevel"/>
    <w:tmpl w:val="FFAC34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22D53"/>
    <w:multiLevelType w:val="hybridMultilevel"/>
    <w:tmpl w:val="2CCC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979D8"/>
    <w:multiLevelType w:val="hybridMultilevel"/>
    <w:tmpl w:val="382425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1B5EF5"/>
    <w:multiLevelType w:val="hybridMultilevel"/>
    <w:tmpl w:val="6C766DC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A951409"/>
    <w:multiLevelType w:val="hybridMultilevel"/>
    <w:tmpl w:val="498E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1309F"/>
    <w:multiLevelType w:val="hybridMultilevel"/>
    <w:tmpl w:val="13889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6"/>
  </w:num>
  <w:num w:numId="5">
    <w:abstractNumId w:val="12"/>
  </w:num>
  <w:num w:numId="6">
    <w:abstractNumId w:val="3"/>
  </w:num>
  <w:num w:numId="7">
    <w:abstractNumId w:val="10"/>
  </w:num>
  <w:num w:numId="8">
    <w:abstractNumId w:val="8"/>
  </w:num>
  <w:num w:numId="9">
    <w:abstractNumId w:val="2"/>
  </w:num>
  <w:num w:numId="10">
    <w:abstractNumId w:val="7"/>
  </w:num>
  <w:num w:numId="11">
    <w:abstractNumId w:val="1"/>
  </w:num>
  <w:num w:numId="12">
    <w:abstractNumId w:val="4"/>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B4"/>
    <w:rsid w:val="000071C9"/>
    <w:rsid w:val="00007557"/>
    <w:rsid w:val="00010BA6"/>
    <w:rsid w:val="0001360B"/>
    <w:rsid w:val="0001602B"/>
    <w:rsid w:val="00017AB4"/>
    <w:rsid w:val="00020353"/>
    <w:rsid w:val="0002036F"/>
    <w:rsid w:val="00034194"/>
    <w:rsid w:val="00042CB4"/>
    <w:rsid w:val="00053158"/>
    <w:rsid w:val="00053CA4"/>
    <w:rsid w:val="000619E6"/>
    <w:rsid w:val="000642C9"/>
    <w:rsid w:val="00084BE7"/>
    <w:rsid w:val="00095AC3"/>
    <w:rsid w:val="00097102"/>
    <w:rsid w:val="00097CD2"/>
    <w:rsid w:val="000A1408"/>
    <w:rsid w:val="000A52D3"/>
    <w:rsid w:val="000A590E"/>
    <w:rsid w:val="000B1ED6"/>
    <w:rsid w:val="000B2D32"/>
    <w:rsid w:val="000B62F5"/>
    <w:rsid w:val="000C3380"/>
    <w:rsid w:val="000D1CCB"/>
    <w:rsid w:val="000E037E"/>
    <w:rsid w:val="000E6138"/>
    <w:rsid w:val="00100978"/>
    <w:rsid w:val="001050CD"/>
    <w:rsid w:val="001052C4"/>
    <w:rsid w:val="00111A17"/>
    <w:rsid w:val="001138D2"/>
    <w:rsid w:val="00117788"/>
    <w:rsid w:val="0012121E"/>
    <w:rsid w:val="00123AE4"/>
    <w:rsid w:val="0014218B"/>
    <w:rsid w:val="001519EB"/>
    <w:rsid w:val="00155D4A"/>
    <w:rsid w:val="0016166C"/>
    <w:rsid w:val="0016337B"/>
    <w:rsid w:val="00166CAA"/>
    <w:rsid w:val="00167956"/>
    <w:rsid w:val="00167B89"/>
    <w:rsid w:val="0017081A"/>
    <w:rsid w:val="001927BF"/>
    <w:rsid w:val="001A519B"/>
    <w:rsid w:val="001B08AE"/>
    <w:rsid w:val="001C177E"/>
    <w:rsid w:val="001C66A1"/>
    <w:rsid w:val="001D7F2F"/>
    <w:rsid w:val="001E0E39"/>
    <w:rsid w:val="001E5BD3"/>
    <w:rsid w:val="001F1C5E"/>
    <w:rsid w:val="00202B49"/>
    <w:rsid w:val="00210981"/>
    <w:rsid w:val="00222F88"/>
    <w:rsid w:val="00227087"/>
    <w:rsid w:val="002355CB"/>
    <w:rsid w:val="00236A46"/>
    <w:rsid w:val="00237F24"/>
    <w:rsid w:val="00242F1D"/>
    <w:rsid w:val="00251A8A"/>
    <w:rsid w:val="00257D86"/>
    <w:rsid w:val="0026341F"/>
    <w:rsid w:val="00264DC2"/>
    <w:rsid w:val="002651A0"/>
    <w:rsid w:val="0027069B"/>
    <w:rsid w:val="0027455A"/>
    <w:rsid w:val="00277008"/>
    <w:rsid w:val="002811EC"/>
    <w:rsid w:val="002827BA"/>
    <w:rsid w:val="00293BC9"/>
    <w:rsid w:val="002A3312"/>
    <w:rsid w:val="002A7A72"/>
    <w:rsid w:val="002B14E0"/>
    <w:rsid w:val="002B1D9B"/>
    <w:rsid w:val="002C4B1C"/>
    <w:rsid w:val="002C50BA"/>
    <w:rsid w:val="002C642B"/>
    <w:rsid w:val="002D705F"/>
    <w:rsid w:val="002D7E94"/>
    <w:rsid w:val="002F24DD"/>
    <w:rsid w:val="002F252F"/>
    <w:rsid w:val="002F78DC"/>
    <w:rsid w:val="003149E8"/>
    <w:rsid w:val="00315992"/>
    <w:rsid w:val="0031701A"/>
    <w:rsid w:val="00327751"/>
    <w:rsid w:val="00330621"/>
    <w:rsid w:val="0033175D"/>
    <w:rsid w:val="00342032"/>
    <w:rsid w:val="0034506B"/>
    <w:rsid w:val="00345CE9"/>
    <w:rsid w:val="00350D08"/>
    <w:rsid w:val="00355785"/>
    <w:rsid w:val="003658BB"/>
    <w:rsid w:val="003674D4"/>
    <w:rsid w:val="00377623"/>
    <w:rsid w:val="00380863"/>
    <w:rsid w:val="003A1590"/>
    <w:rsid w:val="003A4744"/>
    <w:rsid w:val="003B259F"/>
    <w:rsid w:val="003B5DC3"/>
    <w:rsid w:val="003C27BA"/>
    <w:rsid w:val="003D249C"/>
    <w:rsid w:val="003D263D"/>
    <w:rsid w:val="003E5C12"/>
    <w:rsid w:val="003F4027"/>
    <w:rsid w:val="00403C29"/>
    <w:rsid w:val="004104E2"/>
    <w:rsid w:val="0041199B"/>
    <w:rsid w:val="00412302"/>
    <w:rsid w:val="004165BA"/>
    <w:rsid w:val="00425CA0"/>
    <w:rsid w:val="0043276C"/>
    <w:rsid w:val="0043614F"/>
    <w:rsid w:val="00461FB1"/>
    <w:rsid w:val="004649CE"/>
    <w:rsid w:val="00465A56"/>
    <w:rsid w:val="00471B27"/>
    <w:rsid w:val="0047382D"/>
    <w:rsid w:val="00474238"/>
    <w:rsid w:val="0047595D"/>
    <w:rsid w:val="00475BCE"/>
    <w:rsid w:val="00495E4F"/>
    <w:rsid w:val="004A587C"/>
    <w:rsid w:val="004B02A2"/>
    <w:rsid w:val="004B2086"/>
    <w:rsid w:val="004B2D6B"/>
    <w:rsid w:val="004C0609"/>
    <w:rsid w:val="004C5173"/>
    <w:rsid w:val="004D1425"/>
    <w:rsid w:val="004D7F86"/>
    <w:rsid w:val="004F34E3"/>
    <w:rsid w:val="00504B4D"/>
    <w:rsid w:val="005120A1"/>
    <w:rsid w:val="00512459"/>
    <w:rsid w:val="005230BF"/>
    <w:rsid w:val="0053293F"/>
    <w:rsid w:val="00536CC1"/>
    <w:rsid w:val="00546616"/>
    <w:rsid w:val="00565CF3"/>
    <w:rsid w:val="00582372"/>
    <w:rsid w:val="00583040"/>
    <w:rsid w:val="00583994"/>
    <w:rsid w:val="00595D29"/>
    <w:rsid w:val="005967B6"/>
    <w:rsid w:val="005A0BEE"/>
    <w:rsid w:val="005C0C18"/>
    <w:rsid w:val="005C2372"/>
    <w:rsid w:val="005C5C8E"/>
    <w:rsid w:val="005D379C"/>
    <w:rsid w:val="005D4968"/>
    <w:rsid w:val="005E48DE"/>
    <w:rsid w:val="005F08C5"/>
    <w:rsid w:val="00602679"/>
    <w:rsid w:val="0060351F"/>
    <w:rsid w:val="00605D22"/>
    <w:rsid w:val="00614A16"/>
    <w:rsid w:val="006213A3"/>
    <w:rsid w:val="00622F42"/>
    <w:rsid w:val="00630599"/>
    <w:rsid w:val="00641AD7"/>
    <w:rsid w:val="00646BFC"/>
    <w:rsid w:val="00654BB4"/>
    <w:rsid w:val="00655A74"/>
    <w:rsid w:val="00663D1F"/>
    <w:rsid w:val="00665B2E"/>
    <w:rsid w:val="006666A5"/>
    <w:rsid w:val="00674C19"/>
    <w:rsid w:val="006A702E"/>
    <w:rsid w:val="006B461D"/>
    <w:rsid w:val="006C0CFC"/>
    <w:rsid w:val="006D1DE3"/>
    <w:rsid w:val="006E198D"/>
    <w:rsid w:val="006F21FE"/>
    <w:rsid w:val="00701B9B"/>
    <w:rsid w:val="00701DA8"/>
    <w:rsid w:val="00703BE5"/>
    <w:rsid w:val="007136BF"/>
    <w:rsid w:val="00725475"/>
    <w:rsid w:val="00733A21"/>
    <w:rsid w:val="00736299"/>
    <w:rsid w:val="00746768"/>
    <w:rsid w:val="00747319"/>
    <w:rsid w:val="00756EE9"/>
    <w:rsid w:val="00763479"/>
    <w:rsid w:val="00763CB0"/>
    <w:rsid w:val="007646C3"/>
    <w:rsid w:val="00765203"/>
    <w:rsid w:val="00765B6F"/>
    <w:rsid w:val="00766BF9"/>
    <w:rsid w:val="00770586"/>
    <w:rsid w:val="007801B1"/>
    <w:rsid w:val="00782FF3"/>
    <w:rsid w:val="00785DD2"/>
    <w:rsid w:val="00786E58"/>
    <w:rsid w:val="00791CB4"/>
    <w:rsid w:val="007B14FD"/>
    <w:rsid w:val="007B3C33"/>
    <w:rsid w:val="007B4734"/>
    <w:rsid w:val="007B5682"/>
    <w:rsid w:val="007B6EF6"/>
    <w:rsid w:val="007C1A3D"/>
    <w:rsid w:val="007E091A"/>
    <w:rsid w:val="007E1EAD"/>
    <w:rsid w:val="007E5B05"/>
    <w:rsid w:val="00805C33"/>
    <w:rsid w:val="00807765"/>
    <w:rsid w:val="0080792D"/>
    <w:rsid w:val="00815F61"/>
    <w:rsid w:val="00815F79"/>
    <w:rsid w:val="0082021C"/>
    <w:rsid w:val="00837DF1"/>
    <w:rsid w:val="00856428"/>
    <w:rsid w:val="00863A1D"/>
    <w:rsid w:val="00864532"/>
    <w:rsid w:val="00865FAD"/>
    <w:rsid w:val="00881906"/>
    <w:rsid w:val="00883476"/>
    <w:rsid w:val="00884245"/>
    <w:rsid w:val="00884BC2"/>
    <w:rsid w:val="00884C73"/>
    <w:rsid w:val="008914EC"/>
    <w:rsid w:val="00892D7D"/>
    <w:rsid w:val="00895687"/>
    <w:rsid w:val="0089593D"/>
    <w:rsid w:val="008B2371"/>
    <w:rsid w:val="008B585A"/>
    <w:rsid w:val="008C5AB9"/>
    <w:rsid w:val="008D62C6"/>
    <w:rsid w:val="008E1263"/>
    <w:rsid w:val="008E22B4"/>
    <w:rsid w:val="00907224"/>
    <w:rsid w:val="00915064"/>
    <w:rsid w:val="00917411"/>
    <w:rsid w:val="00924EEE"/>
    <w:rsid w:val="00930F88"/>
    <w:rsid w:val="00931EA3"/>
    <w:rsid w:val="009470B6"/>
    <w:rsid w:val="00966827"/>
    <w:rsid w:val="00971EBA"/>
    <w:rsid w:val="0099756A"/>
    <w:rsid w:val="009A688C"/>
    <w:rsid w:val="009B3E60"/>
    <w:rsid w:val="009B79AF"/>
    <w:rsid w:val="009D4445"/>
    <w:rsid w:val="009E1120"/>
    <w:rsid w:val="009E567A"/>
    <w:rsid w:val="009F64B1"/>
    <w:rsid w:val="00A02E4B"/>
    <w:rsid w:val="00A03A5E"/>
    <w:rsid w:val="00A05880"/>
    <w:rsid w:val="00A26E6B"/>
    <w:rsid w:val="00A27A02"/>
    <w:rsid w:val="00A32956"/>
    <w:rsid w:val="00A361D2"/>
    <w:rsid w:val="00A52959"/>
    <w:rsid w:val="00A55F3A"/>
    <w:rsid w:val="00A70804"/>
    <w:rsid w:val="00A75B1D"/>
    <w:rsid w:val="00A90FB7"/>
    <w:rsid w:val="00A9492D"/>
    <w:rsid w:val="00AA2101"/>
    <w:rsid w:val="00AA5EC5"/>
    <w:rsid w:val="00AA6B90"/>
    <w:rsid w:val="00AB1B32"/>
    <w:rsid w:val="00AB5495"/>
    <w:rsid w:val="00AB6F9B"/>
    <w:rsid w:val="00AC492E"/>
    <w:rsid w:val="00AD1312"/>
    <w:rsid w:val="00AE002D"/>
    <w:rsid w:val="00AE6E01"/>
    <w:rsid w:val="00AF0C17"/>
    <w:rsid w:val="00AF48AA"/>
    <w:rsid w:val="00B2494C"/>
    <w:rsid w:val="00B25DDC"/>
    <w:rsid w:val="00B27F0F"/>
    <w:rsid w:val="00B36F27"/>
    <w:rsid w:val="00B44206"/>
    <w:rsid w:val="00B50BCB"/>
    <w:rsid w:val="00B55096"/>
    <w:rsid w:val="00B73160"/>
    <w:rsid w:val="00B73821"/>
    <w:rsid w:val="00B76C01"/>
    <w:rsid w:val="00B85491"/>
    <w:rsid w:val="00B86286"/>
    <w:rsid w:val="00B911B8"/>
    <w:rsid w:val="00BA5428"/>
    <w:rsid w:val="00BA5B64"/>
    <w:rsid w:val="00BA5CDE"/>
    <w:rsid w:val="00BC021D"/>
    <w:rsid w:val="00BD3E19"/>
    <w:rsid w:val="00BD6A30"/>
    <w:rsid w:val="00BE1F5A"/>
    <w:rsid w:val="00C106C3"/>
    <w:rsid w:val="00C16062"/>
    <w:rsid w:val="00C318B2"/>
    <w:rsid w:val="00C32EE9"/>
    <w:rsid w:val="00C37546"/>
    <w:rsid w:val="00C37CD2"/>
    <w:rsid w:val="00C46744"/>
    <w:rsid w:val="00C51948"/>
    <w:rsid w:val="00C771D1"/>
    <w:rsid w:val="00C91D15"/>
    <w:rsid w:val="00C95809"/>
    <w:rsid w:val="00CD5189"/>
    <w:rsid w:val="00CE19D8"/>
    <w:rsid w:val="00CF418F"/>
    <w:rsid w:val="00D069FB"/>
    <w:rsid w:val="00D07684"/>
    <w:rsid w:val="00D104F1"/>
    <w:rsid w:val="00D223B9"/>
    <w:rsid w:val="00D23AB9"/>
    <w:rsid w:val="00D32BD9"/>
    <w:rsid w:val="00D44980"/>
    <w:rsid w:val="00D45FE3"/>
    <w:rsid w:val="00D47F6A"/>
    <w:rsid w:val="00D50B3E"/>
    <w:rsid w:val="00D56AE1"/>
    <w:rsid w:val="00D60A14"/>
    <w:rsid w:val="00D60B29"/>
    <w:rsid w:val="00D63666"/>
    <w:rsid w:val="00D63957"/>
    <w:rsid w:val="00D81E89"/>
    <w:rsid w:val="00D82BDF"/>
    <w:rsid w:val="00D9141A"/>
    <w:rsid w:val="00DA3442"/>
    <w:rsid w:val="00DC12DD"/>
    <w:rsid w:val="00DC1B21"/>
    <w:rsid w:val="00DC6211"/>
    <w:rsid w:val="00DC7985"/>
    <w:rsid w:val="00DD1AD1"/>
    <w:rsid w:val="00DD3F77"/>
    <w:rsid w:val="00DD41A9"/>
    <w:rsid w:val="00DE3D5B"/>
    <w:rsid w:val="00DE4FB5"/>
    <w:rsid w:val="00DE797D"/>
    <w:rsid w:val="00DF0ABA"/>
    <w:rsid w:val="00E13FD3"/>
    <w:rsid w:val="00E245A5"/>
    <w:rsid w:val="00E26F89"/>
    <w:rsid w:val="00E27DF2"/>
    <w:rsid w:val="00E3367E"/>
    <w:rsid w:val="00E3638E"/>
    <w:rsid w:val="00E45B71"/>
    <w:rsid w:val="00E559EB"/>
    <w:rsid w:val="00E62DFD"/>
    <w:rsid w:val="00E63E7A"/>
    <w:rsid w:val="00E6783F"/>
    <w:rsid w:val="00E67E8A"/>
    <w:rsid w:val="00E7234D"/>
    <w:rsid w:val="00E81AF5"/>
    <w:rsid w:val="00E9477B"/>
    <w:rsid w:val="00E96C4A"/>
    <w:rsid w:val="00E977DD"/>
    <w:rsid w:val="00EB4D47"/>
    <w:rsid w:val="00EC6A40"/>
    <w:rsid w:val="00ED6603"/>
    <w:rsid w:val="00ED72C5"/>
    <w:rsid w:val="00EE22F6"/>
    <w:rsid w:val="00EE6EF7"/>
    <w:rsid w:val="00F129D0"/>
    <w:rsid w:val="00F3241D"/>
    <w:rsid w:val="00F40E2D"/>
    <w:rsid w:val="00F57831"/>
    <w:rsid w:val="00F612BA"/>
    <w:rsid w:val="00F70B33"/>
    <w:rsid w:val="00F90F5C"/>
    <w:rsid w:val="00F91243"/>
    <w:rsid w:val="00F92963"/>
    <w:rsid w:val="00FB1D20"/>
    <w:rsid w:val="00FC02CF"/>
    <w:rsid w:val="00FC3232"/>
    <w:rsid w:val="00FC466E"/>
    <w:rsid w:val="00FD6927"/>
    <w:rsid w:val="00FD70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2D364B"/>
  <w15:docId w15:val="{F5D24906-6EA8-4E05-9095-B2DEE42F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B4"/>
    <w:rPr>
      <w:rFonts w:ascii="Tahoma" w:hAnsi="Tahoma" w:cs="Tahoma"/>
      <w:sz w:val="16"/>
      <w:szCs w:val="16"/>
    </w:rPr>
  </w:style>
  <w:style w:type="paragraph" w:styleId="Header">
    <w:name w:val="header"/>
    <w:basedOn w:val="Normal"/>
    <w:link w:val="HeaderChar"/>
    <w:uiPriority w:val="99"/>
    <w:unhideWhenUsed/>
    <w:rsid w:val="005A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EE"/>
  </w:style>
  <w:style w:type="paragraph" w:styleId="Footer">
    <w:name w:val="footer"/>
    <w:basedOn w:val="Normal"/>
    <w:link w:val="FooterChar"/>
    <w:uiPriority w:val="99"/>
    <w:unhideWhenUsed/>
    <w:rsid w:val="005A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EE"/>
  </w:style>
  <w:style w:type="paragraph" w:styleId="ListParagraph">
    <w:name w:val="List Paragraph"/>
    <w:basedOn w:val="Normal"/>
    <w:link w:val="ListParagraphChar"/>
    <w:uiPriority w:val="34"/>
    <w:qFormat/>
    <w:rsid w:val="00202B49"/>
    <w:pPr>
      <w:ind w:left="720"/>
      <w:contextualSpacing/>
    </w:pPr>
  </w:style>
  <w:style w:type="table" w:styleId="TableGrid">
    <w:name w:val="Table Grid"/>
    <w:basedOn w:val="TableNormal"/>
    <w:uiPriority w:val="59"/>
    <w:rsid w:val="00CE1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 heading 3"/>
    <w:basedOn w:val="Normal"/>
    <w:link w:val="subheading3Char"/>
    <w:qFormat/>
    <w:rsid w:val="00B36F27"/>
    <w:pPr>
      <w:spacing w:after="0"/>
    </w:pPr>
    <w:rPr>
      <w:rFonts w:asciiTheme="majorHAnsi" w:hAnsiTheme="majorHAnsi" w:cstheme="majorHAnsi"/>
      <w:b/>
      <w:i/>
      <w:color w:val="00B050"/>
      <w:sz w:val="24"/>
      <w:szCs w:val="24"/>
    </w:rPr>
  </w:style>
  <w:style w:type="character" w:customStyle="1" w:styleId="subheading3Char">
    <w:name w:val="sub heading 3 Char"/>
    <w:basedOn w:val="DefaultParagraphFont"/>
    <w:link w:val="subheading3"/>
    <w:rsid w:val="00B36F27"/>
    <w:rPr>
      <w:rFonts w:asciiTheme="majorHAnsi" w:hAnsiTheme="majorHAnsi" w:cstheme="majorHAnsi"/>
      <w:b/>
      <w:i/>
      <w:color w:val="00B050"/>
      <w:sz w:val="24"/>
      <w:szCs w:val="24"/>
    </w:rPr>
  </w:style>
  <w:style w:type="character" w:styleId="CommentReference">
    <w:name w:val="annotation reference"/>
    <w:basedOn w:val="DefaultParagraphFont"/>
    <w:uiPriority w:val="99"/>
    <w:semiHidden/>
    <w:unhideWhenUsed/>
    <w:rsid w:val="00AB6F9B"/>
    <w:rPr>
      <w:sz w:val="16"/>
      <w:szCs w:val="16"/>
    </w:rPr>
  </w:style>
  <w:style w:type="paragraph" w:styleId="CommentText">
    <w:name w:val="annotation text"/>
    <w:basedOn w:val="Normal"/>
    <w:link w:val="CommentTextChar"/>
    <w:uiPriority w:val="99"/>
    <w:unhideWhenUsed/>
    <w:rsid w:val="00AB6F9B"/>
    <w:pPr>
      <w:spacing w:line="240" w:lineRule="auto"/>
    </w:pPr>
    <w:rPr>
      <w:sz w:val="20"/>
      <w:szCs w:val="20"/>
    </w:rPr>
  </w:style>
  <w:style w:type="character" w:customStyle="1" w:styleId="CommentTextChar">
    <w:name w:val="Comment Text Char"/>
    <w:basedOn w:val="DefaultParagraphFont"/>
    <w:link w:val="CommentText"/>
    <w:uiPriority w:val="99"/>
    <w:rsid w:val="00AB6F9B"/>
    <w:rPr>
      <w:sz w:val="20"/>
      <w:szCs w:val="20"/>
    </w:rPr>
  </w:style>
  <w:style w:type="paragraph" w:styleId="CommentSubject">
    <w:name w:val="annotation subject"/>
    <w:basedOn w:val="CommentText"/>
    <w:next w:val="CommentText"/>
    <w:link w:val="CommentSubjectChar"/>
    <w:uiPriority w:val="99"/>
    <w:semiHidden/>
    <w:unhideWhenUsed/>
    <w:rsid w:val="00AB6F9B"/>
    <w:rPr>
      <w:b/>
      <w:bCs/>
    </w:rPr>
  </w:style>
  <w:style w:type="character" w:customStyle="1" w:styleId="CommentSubjectChar">
    <w:name w:val="Comment Subject Char"/>
    <w:basedOn w:val="CommentTextChar"/>
    <w:link w:val="CommentSubject"/>
    <w:uiPriority w:val="99"/>
    <w:semiHidden/>
    <w:rsid w:val="00AB6F9B"/>
    <w:rPr>
      <w:b/>
      <w:bCs/>
      <w:sz w:val="20"/>
      <w:szCs w:val="20"/>
    </w:rPr>
  </w:style>
  <w:style w:type="paragraph" w:styleId="Revision">
    <w:name w:val="Revision"/>
    <w:hidden/>
    <w:uiPriority w:val="99"/>
    <w:semiHidden/>
    <w:rsid w:val="00053CA4"/>
    <w:pPr>
      <w:spacing w:after="0" w:line="240" w:lineRule="auto"/>
    </w:pPr>
  </w:style>
  <w:style w:type="character" w:styleId="Hyperlink">
    <w:name w:val="Hyperlink"/>
    <w:basedOn w:val="DefaultParagraphFont"/>
    <w:uiPriority w:val="99"/>
    <w:unhideWhenUsed/>
    <w:rsid w:val="00F70B33"/>
    <w:rPr>
      <w:color w:val="0000FF" w:themeColor="hyperlink"/>
      <w:u w:val="single"/>
    </w:rPr>
  </w:style>
  <w:style w:type="character" w:customStyle="1" w:styleId="ListParagraphChar">
    <w:name w:val="List Paragraph Char"/>
    <w:basedOn w:val="DefaultParagraphFont"/>
    <w:link w:val="ListParagraph"/>
    <w:uiPriority w:val="34"/>
    <w:rsid w:val="0091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0210">
      <w:bodyDiv w:val="1"/>
      <w:marLeft w:val="0"/>
      <w:marRight w:val="0"/>
      <w:marTop w:val="0"/>
      <w:marBottom w:val="0"/>
      <w:divBdr>
        <w:top w:val="none" w:sz="0" w:space="0" w:color="auto"/>
        <w:left w:val="none" w:sz="0" w:space="0" w:color="auto"/>
        <w:bottom w:val="none" w:sz="0" w:space="0" w:color="auto"/>
        <w:right w:val="none" w:sz="0" w:space="0" w:color="auto"/>
      </w:divBdr>
    </w:div>
    <w:div w:id="984969608">
      <w:bodyDiv w:val="1"/>
      <w:marLeft w:val="0"/>
      <w:marRight w:val="0"/>
      <w:marTop w:val="0"/>
      <w:marBottom w:val="0"/>
      <w:divBdr>
        <w:top w:val="none" w:sz="0" w:space="0" w:color="auto"/>
        <w:left w:val="none" w:sz="0" w:space="0" w:color="auto"/>
        <w:bottom w:val="none" w:sz="0" w:space="0" w:color="auto"/>
        <w:right w:val="none" w:sz="0" w:space="0" w:color="auto"/>
      </w:divBdr>
    </w:div>
    <w:div w:id="1147013680">
      <w:bodyDiv w:val="1"/>
      <w:marLeft w:val="0"/>
      <w:marRight w:val="0"/>
      <w:marTop w:val="0"/>
      <w:marBottom w:val="0"/>
      <w:divBdr>
        <w:top w:val="none" w:sz="0" w:space="0" w:color="auto"/>
        <w:left w:val="none" w:sz="0" w:space="0" w:color="auto"/>
        <w:bottom w:val="none" w:sz="0" w:space="0" w:color="auto"/>
        <w:right w:val="none" w:sz="0" w:space="0" w:color="auto"/>
      </w:divBdr>
    </w:div>
    <w:div w:id="1345598302">
      <w:bodyDiv w:val="1"/>
      <w:marLeft w:val="0"/>
      <w:marRight w:val="0"/>
      <w:marTop w:val="0"/>
      <w:marBottom w:val="0"/>
      <w:divBdr>
        <w:top w:val="none" w:sz="0" w:space="0" w:color="auto"/>
        <w:left w:val="none" w:sz="0" w:space="0" w:color="auto"/>
        <w:bottom w:val="none" w:sz="0" w:space="0" w:color="auto"/>
        <w:right w:val="none" w:sz="0" w:space="0" w:color="auto"/>
      </w:divBdr>
    </w:div>
    <w:div w:id="1516111381">
      <w:bodyDiv w:val="1"/>
      <w:marLeft w:val="0"/>
      <w:marRight w:val="0"/>
      <w:marTop w:val="0"/>
      <w:marBottom w:val="0"/>
      <w:divBdr>
        <w:top w:val="none" w:sz="0" w:space="0" w:color="auto"/>
        <w:left w:val="none" w:sz="0" w:space="0" w:color="auto"/>
        <w:bottom w:val="none" w:sz="0" w:space="0" w:color="auto"/>
        <w:right w:val="none" w:sz="0" w:space="0" w:color="auto"/>
      </w:divBdr>
    </w:div>
    <w:div w:id="1623490339">
      <w:bodyDiv w:val="1"/>
      <w:marLeft w:val="0"/>
      <w:marRight w:val="0"/>
      <w:marTop w:val="0"/>
      <w:marBottom w:val="0"/>
      <w:divBdr>
        <w:top w:val="none" w:sz="0" w:space="0" w:color="auto"/>
        <w:left w:val="none" w:sz="0" w:space="0" w:color="auto"/>
        <w:bottom w:val="none" w:sz="0" w:space="0" w:color="auto"/>
        <w:right w:val="none" w:sz="0" w:space="0" w:color="auto"/>
      </w:divBdr>
    </w:div>
    <w:div w:id="1768890994">
      <w:bodyDiv w:val="1"/>
      <w:marLeft w:val="0"/>
      <w:marRight w:val="0"/>
      <w:marTop w:val="0"/>
      <w:marBottom w:val="0"/>
      <w:divBdr>
        <w:top w:val="none" w:sz="0" w:space="0" w:color="auto"/>
        <w:left w:val="none" w:sz="0" w:space="0" w:color="auto"/>
        <w:bottom w:val="none" w:sz="0" w:space="0" w:color="auto"/>
        <w:right w:val="none" w:sz="0" w:space="0" w:color="auto"/>
      </w:divBdr>
    </w:div>
    <w:div w:id="21003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B3DD-4E59-40E4-B1D5-EF4D657F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Bates</dc:creator>
  <cp:lastModifiedBy>Lauren Combs</cp:lastModifiedBy>
  <cp:revision>2</cp:revision>
  <cp:lastPrinted>2015-09-03T08:24:00Z</cp:lastPrinted>
  <dcterms:created xsi:type="dcterms:W3CDTF">2019-11-18T10:34:00Z</dcterms:created>
  <dcterms:modified xsi:type="dcterms:W3CDTF">2019-11-18T10:34:00Z</dcterms:modified>
</cp:coreProperties>
</file>